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media/image9.png" ContentType="image/png"/>
  <Override PartName="/word/media/image10.png" ContentType="image/png"/>
  <Override PartName="/word/media/image11.png" ContentType="image/png"/>
  <Override PartName="/word/media/image12.png" ContentType="image/png"/>
  <Override PartName="/word/media/image13.png" ContentType="image/png"/>
  <Override PartName="/word/media/image14.png" ContentType="image/png"/>
  <Override PartName="/word/media/image15.png" ContentType="image/png"/>
  <Override PartName="/word/media/image16.png" ContentType="image/png"/>
  <Override PartName="/word/media/image17.png" ContentType="image/png"/>
  <Override PartName="/word/media/image18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Приложение 4.1</w:t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Издание научно-методических материалов по проблемам здорового образа жизни студентов и сотрудников (за единицу):</w:t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 xml:space="preserve">- </w:t>
      </w:r>
      <w:r>
        <w:rPr>
          <w:rFonts w:cs="Times New Roman" w:ascii="Times New Roman" w:hAnsi="Times New Roman"/>
          <w:b/>
          <w:sz w:val="24"/>
          <w:szCs w:val="24"/>
        </w:rPr>
        <w:t>статьи в журналах, входящих в список ВАК (20 баллов) — 14 шт. - 280 баллов</w:t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- статьи в центральной печати (журналы) (10 баллов) — 3 шт. - 30 баллов</w:t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- статьи в научных и методических сборниках (5 баллов) — 1 шт. - 5 баллов</w:t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/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Итого: 3</w:t>
      </w:r>
      <w:r>
        <w:rPr>
          <w:rFonts w:cs="Times New Roman" w:ascii="Times New Roman" w:hAnsi="Times New Roman"/>
          <w:b/>
          <w:sz w:val="24"/>
          <w:szCs w:val="24"/>
        </w:rPr>
        <w:t>1</w:t>
      </w:r>
      <w:r>
        <w:rPr>
          <w:rFonts w:cs="Times New Roman" w:ascii="Times New Roman" w:hAnsi="Times New Roman"/>
          <w:b/>
          <w:sz w:val="24"/>
          <w:szCs w:val="24"/>
        </w:rPr>
        <w:t>5 баллов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/>
      </w:pPr>
      <w:r>
        <w:rPr/>
      </w:r>
    </w:p>
    <w:tbl>
      <w:tblPr>
        <w:tblW w:w="9179" w:type="dxa"/>
        <w:jc w:val="left"/>
        <w:tblInd w:w="113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38"/>
        <w:gridCol w:w="7141"/>
      </w:tblGrid>
      <w:tr>
        <w:trPr>
          <w:trHeight w:val="360" w:hRule="atLeast"/>
        </w:trPr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b/>
                <w:b/>
              </w:rPr>
            </w:pPr>
            <w:r>
              <w:rPr>
                <w:b/>
              </w:rPr>
              <w:t>Порядковый номер</w:t>
            </w:r>
          </w:p>
        </w:tc>
        <w:tc>
          <w:tcPr>
            <w:tcW w:w="7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b/>
                <w:b/>
              </w:rPr>
            </w:pPr>
            <w:r>
              <w:rPr>
                <w:b/>
              </w:rPr>
              <w:t>Данные статьи</w:t>
            </w:r>
          </w:p>
        </w:tc>
      </w:tr>
      <w:tr>
        <w:trPr>
          <w:trHeight w:val="360" w:hRule="atLeast"/>
        </w:trPr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/>
            </w:pPr>
            <w:r>
              <w:rPr/>
              <w:t>1</w:t>
            </w:r>
          </w:p>
        </w:tc>
        <w:tc>
          <w:tcPr>
            <w:tcW w:w="7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/>
            </w:pPr>
            <w:r>
              <w:rPr/>
              <w:t>Сергеева, В. А. Изменение образа жизни студентов-медиков в период пандемии COVID-19 / В. А. Сергеева, Т. Е. Липатова // Качественная клиническая практика. – 2022. – № 1. – С. 64-71. – DOI 10.37489/2588-0519-2022-1-64-71. – EDN EZZLOY.</w:t>
            </w:r>
          </w:p>
        </w:tc>
      </w:tr>
      <w:tr>
        <w:trPr>
          <w:trHeight w:val="1757" w:hRule="atLeast"/>
        </w:trPr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/>
            </w:pPr>
            <w:r>
              <w:rPr/>
              <w:t>2</w:t>
            </w:r>
          </w:p>
        </w:tc>
        <w:tc>
          <w:tcPr>
            <w:tcW w:w="7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/>
            </w:pPr>
            <w:r>
              <w:rPr/>
              <w:t>Распространённость употребления табачных изделий среди работников промышленных предприятий / С. В. Райкова, С. С. Райкин, Н. Е. Комлева, М. К. Гаджиева // Гигиена и санитария. – 2022. – Т. 101, № 6. – С. 641-644. – DOI 10.47470/0016-9900-2022-101-6-641-644. – EDN GVJACE.</w:t>
            </w:r>
          </w:p>
        </w:tc>
      </w:tr>
      <w:tr>
        <w:trPr>
          <w:trHeight w:val="360" w:hRule="atLeast"/>
        </w:trPr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/>
            </w:pPr>
            <w:r>
              <w:rPr/>
              <w:t>3</w:t>
            </w:r>
          </w:p>
        </w:tc>
        <w:tc>
          <w:tcPr>
            <w:tcW w:w="7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/>
            </w:pPr>
            <w:r>
              <w:rPr/>
              <w:t>Динамика паразитологического состояния источников питьевого водоснабжения населения в условиях аридизации климата / К. А. Савина, А. В. Косарев, А. Н. Микеров, Ю. А. Панкратова // Санитарный врач. – 2022. – № 8. – С. 547-560. – DOI 10.33920/med-08-2208-03. – EDN OFEZDG.</w:t>
            </w:r>
          </w:p>
        </w:tc>
      </w:tr>
      <w:tr>
        <w:trPr>
          <w:trHeight w:val="2229" w:hRule="atLeast"/>
        </w:trPr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/>
            </w:pPr>
            <w:r>
              <w:rPr/>
              <w:t>4</w:t>
            </w:r>
          </w:p>
        </w:tc>
        <w:tc>
          <w:tcPr>
            <w:tcW w:w="7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/>
            </w:pPr>
            <w:r>
              <w:rPr/>
              <w:t>Современные тенденции профессиональной заболеваемости работников промышленного сектора в разрезе видов экономической деятельности / Н. В. Полунина, Г. А. Безрукова, Т. А. Новикова, Ю. Ю. Елисеев // Российский медицинский журнал. – 2022. – Т. 28, № 6. – С. 419-430. – DOI 10.17816/medjrf112587. – EDN AJHHLX.</w:t>
            </w:r>
          </w:p>
        </w:tc>
      </w:tr>
      <w:tr>
        <w:trPr>
          <w:trHeight w:val="360" w:hRule="atLeast"/>
        </w:trPr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/>
            </w:pPr>
            <w:r>
              <w:rPr/>
              <w:t>5</w:t>
            </w:r>
          </w:p>
        </w:tc>
        <w:tc>
          <w:tcPr>
            <w:tcW w:w="7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/>
            </w:pPr>
            <w:r>
              <w:rPr/>
              <w:t>Куликова, А. Н. Факторы риска развития венозных тромбоэмболических осложнений у онкологических больных (обзор литературы) / А. Н. Куликова, А. А. Тонкачева // Ангиология и сосудистая хирургия. – 2022. – Т. 28, № 4. – С. 119-125. – DOI 10.33029/1027-6661-2022-28-4-119-125. – EDN GYWCFF.</w:t>
            </w:r>
          </w:p>
        </w:tc>
      </w:tr>
      <w:tr>
        <w:trPr>
          <w:trHeight w:val="360" w:hRule="atLeast"/>
        </w:trPr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/>
            </w:pPr>
            <w:r>
              <w:rPr/>
              <w:t>6</w:t>
            </w:r>
          </w:p>
        </w:tc>
        <w:tc>
          <w:tcPr>
            <w:tcW w:w="7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/>
            </w:pPr>
            <w:r>
              <w:rPr/>
              <w:t>Нечаев, В. Н. Влияние инновационных технологий на здоровье обучающихся и преподавателей с учетом эпидемиологической обстановки / В. Н. Нечаев, Ю. В. Черненков // Саратовский научно-медицинский журнал. – 2022. – Т. 18, № 3. – С. 490-493. – EDN FJJMXB.</w:t>
            </w:r>
          </w:p>
        </w:tc>
      </w:tr>
      <w:tr>
        <w:trPr>
          <w:trHeight w:val="360" w:hRule="atLeast"/>
        </w:trPr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/>
            </w:pPr>
            <w:r>
              <w:rPr/>
              <w:t>7</w:t>
            </w:r>
          </w:p>
        </w:tc>
        <w:tc>
          <w:tcPr>
            <w:tcW w:w="7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/>
            </w:pPr>
            <w:r>
              <w:rPr/>
              <w:t>Современные эколого-гигиенические проблемы безопасности рыбной продукции, связанные с развитием прудового рыбоводства в Саратовской области / Ю. Ю. Елисеев, А. А. Войтович, Ю. В. Елисеева [и др.] // Санитарный врач. – 2022. – № 9. – С. 643-649. – DOI 10.33920/med-08-2209-02. – EDN JNSLUG.</w:t>
            </w:r>
          </w:p>
        </w:tc>
      </w:tr>
      <w:tr>
        <w:trPr>
          <w:trHeight w:val="360" w:hRule="atLeast"/>
        </w:trPr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/>
            </w:pPr>
            <w:r>
              <w:rPr/>
              <w:t>8</w:t>
            </w:r>
          </w:p>
        </w:tc>
        <w:tc>
          <w:tcPr>
            <w:tcW w:w="7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/>
            </w:pPr>
            <w:r>
              <w:rPr/>
              <w:t>Спирин, В. Ф. Социально-гигиенические и поведенческие тренды, влияющие на качество жизни подростков / В. Ф. Спирин, О. Ю. Милушкина, Ю. В. Елисеева // Гигиена и санитария. – 2022. – Т. 101, № 6. – С. 683-687. – DOI 10.47470/0016-9900-2022-101-6-683-687. – EDN SZLLOI.</w:t>
            </w:r>
          </w:p>
        </w:tc>
      </w:tr>
      <w:tr>
        <w:trPr>
          <w:trHeight w:val="360" w:hRule="atLeast"/>
        </w:trPr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/>
            </w:pPr>
            <w:r>
              <w:rPr/>
              <w:t>9</w:t>
            </w:r>
          </w:p>
        </w:tc>
        <w:tc>
          <w:tcPr>
            <w:tcW w:w="7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/>
            </w:pPr>
            <w:r>
              <w:rPr/>
              <w:t>Чобитько, В. Г. Анализ эпидемиологических показателей заболеваний щитовидной железы в Саратовской области за 2009 и 2018 годы / В. Г. Чобитько, О. В. Максимова, А. В. Фролова // Лечащий врач. – 2022. – № 3. – С. 10-14. – DOI 10.51793/OS.2022.25.3.001. – EDN NXKFWR.</w:t>
            </w:r>
          </w:p>
        </w:tc>
      </w:tr>
      <w:tr>
        <w:trPr>
          <w:trHeight w:val="360" w:hRule="atLeast"/>
        </w:trPr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/>
            </w:pPr>
            <w:r>
              <w:rPr/>
              <w:t>10</w:t>
            </w:r>
          </w:p>
        </w:tc>
        <w:tc>
          <w:tcPr>
            <w:tcW w:w="7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/>
            </w:pPr>
            <w:r>
              <w:rPr/>
              <w:t>Эффективность работы "Школы снижения массы тела" / Н. В. Болотова, Н. Ю. Филина, О. В. Компаниец [и др.] // Вопросы практической педиатрии. – 2022. – Т. 17, № 2. – С. 93-98. – DOI 10.20953/1817-7646-2022-2-93-98. – EDN OEGKXT.</w:t>
            </w:r>
          </w:p>
        </w:tc>
      </w:tr>
      <w:tr>
        <w:trPr>
          <w:trHeight w:val="360" w:hRule="atLeast"/>
        </w:trPr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/>
            </w:pPr>
            <w:r>
              <w:rPr/>
              <w:t>11</w:t>
            </w:r>
          </w:p>
        </w:tc>
        <w:tc>
          <w:tcPr>
            <w:tcW w:w="7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/>
            </w:pPr>
            <w:r>
              <w:rPr/>
              <w:t>Еремина, М. Г. Характеристика сельского здравоохранения в современной России / М. Г. Еремина // Известия Саратовского университета. Новая серия. Серия: Социология. Политология. – 2022. – Т. 22, № 1. – С. 98-100. – DOI 10.18500/1818-9601-2022-22-1-98-100. – EDN LTONHX.</w:t>
            </w:r>
          </w:p>
        </w:tc>
      </w:tr>
      <w:tr>
        <w:trPr>
          <w:trHeight w:val="360" w:hRule="atLeast"/>
        </w:trPr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/>
            </w:pPr>
            <w:r>
              <w:rPr/>
              <w:t>12</w:t>
            </w:r>
          </w:p>
        </w:tc>
        <w:tc>
          <w:tcPr>
            <w:tcW w:w="7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/>
            </w:pPr>
            <w:r>
              <w:rPr/>
              <w:t>Динамика выявляемости ВИЧ-инфекции среди групп риска в Саратовской области / В. А. Сотскова, В. И. Кузнецов, А. Н. Смагина [и др.] // Инфекционные болезни в современном мире: эволюция, текущие и будущие угрозы : Сборник трудов ХIV Ежегодного Всероссийского Конгресса по инфекционным болезням имени академика В.И.Покровского, Москва, 28–30 марта 2022 года. – Москва: Общество с ограниченной ответственностью "Медицинское Маркетинговое Агентство", 2022. – С. 154. – EDN TZTKUN.</w:t>
            </w:r>
          </w:p>
        </w:tc>
      </w:tr>
      <w:tr>
        <w:trPr>
          <w:trHeight w:val="360" w:hRule="atLeast"/>
        </w:trPr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/>
            </w:pPr>
            <w:r>
              <w:rPr/>
              <w:t>13</w:t>
            </w:r>
          </w:p>
        </w:tc>
        <w:tc>
          <w:tcPr>
            <w:tcW w:w="7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/>
            </w:pPr>
            <w:r>
              <w:rPr/>
              <w:t>Оценка профессионального риска для здоровья работников производства полиакрилонитрильных волокон / Т. А. Новикова, Ю. А. Алешина, Г. А. Безрукова, А. Н. Микеров // Медицина труда и экология человека. – 2022. – № 3(31). – С. 85-101. – DOI 10.24412/2411-3794-2022-10308. – EDN BKOIMH.</w:t>
            </w:r>
          </w:p>
        </w:tc>
      </w:tr>
      <w:tr>
        <w:trPr>
          <w:trHeight w:val="362" w:hRule="atLeast"/>
        </w:trPr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/>
            </w:pPr>
            <w:r>
              <w:rPr/>
              <w:t>14</w:t>
            </w:r>
          </w:p>
        </w:tc>
        <w:tc>
          <w:tcPr>
            <w:tcW w:w="7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/>
            </w:pPr>
            <w:r>
              <w:rPr/>
              <w:t>Сергеева, О. В. Влияние недоношенности на уровень физической активности детей младшего школьного возраста / О. В. Сергеева, С. А. Хмилевская, Н. И. Зрячкин // Вопросы школьной и университетской медицины и здоровья. – 2022. – № 1. – С. 46-48. – EDN BTBGWK.</w:t>
            </w:r>
          </w:p>
        </w:tc>
      </w:tr>
      <w:tr>
        <w:trPr>
          <w:trHeight w:val="362" w:hRule="atLeast"/>
        </w:trPr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/>
            </w:pPr>
            <w:r>
              <w:rPr/>
              <w:t>15</w:t>
            </w:r>
          </w:p>
        </w:tc>
        <w:tc>
          <w:tcPr>
            <w:tcW w:w="7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/>
            </w:pPr>
            <w:r>
              <w:rPr/>
              <w:t>влияние занятий в спортивных секциях на саморегуляцию студентов медицинского вуза / П. Е. Герасимов, М. Ю. Фролов, В. В. Чучин, Н. В. Клюшников // Культура физическая и здоровье. – 2022. – № 4(84). – С. 68-71. – DOI 10.47438/1999-3455_2022_4_68. – EDN UWUNLF.</w:t>
            </w:r>
          </w:p>
        </w:tc>
      </w:tr>
      <w:tr>
        <w:trPr>
          <w:trHeight w:val="362" w:hRule="atLeast"/>
        </w:trPr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/>
            </w:pPr>
            <w:r>
              <w:rPr/>
              <w:t>16</w:t>
            </w:r>
          </w:p>
        </w:tc>
        <w:tc>
          <w:tcPr>
            <w:tcW w:w="7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/>
            </w:pPr>
            <w:r>
              <w:rPr/>
              <w:t>Тенденции питания студентов Медико-профилактического факультета СГМУ им. В.И. Разумовского в сравнении младших и старших курсов / П. Е. Герасимов, В. И. Кяжин, И. Н. Камбурова, Н. В. Клюшников // Скиф. Вопросы студенческой науки. – 2022. – № 4(68). – С. 444-449. – EDN MMTUIT.</w:t>
            </w:r>
          </w:p>
        </w:tc>
      </w:tr>
      <w:tr>
        <w:trPr>
          <w:trHeight w:val="362" w:hRule="atLeast"/>
        </w:trPr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/>
            </w:pPr>
            <w:r>
              <w:rPr/>
              <w:t>17</w:t>
            </w:r>
          </w:p>
        </w:tc>
        <w:tc>
          <w:tcPr>
            <w:tcW w:w="7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  <w:t>Оценка качества жизни больных ревматоидным артритом в сравнении с популяционными нормами в Москве / А. И. Загребнева, Е. А. Лучинин, А. В. Смирнова [и др.] // Проблемы социальной гигиены, здравоохранения и истории медицины. – 2022. – Т. 30, № S. – С. 1004-1009. – DOI 10.32687/0869-866X-2022-30-s1-1004-1009. – EDN WTASAY.</w:t>
            </w:r>
          </w:p>
        </w:tc>
      </w:tr>
      <w:tr>
        <w:trPr>
          <w:trHeight w:val="362" w:hRule="atLeast"/>
        </w:trPr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/>
            </w:pPr>
            <w:r>
              <w:rPr/>
              <w:t>18</w:t>
            </w:r>
          </w:p>
        </w:tc>
        <w:tc>
          <w:tcPr>
            <w:tcW w:w="7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  <w:t>Елисеева, Ю. В. Влияние психологической обстановки на риск развития эмоционального выгорания в коллективе медицинских работников / Ю. В. Елисеева, Н. Ш. Ратушная, Е. А. Дубровина // Российский вестник гигиены. – 2022. – № 1. – С. 28-32. – DOI 10.24075/rbh.2022.035. – EDN OOOVXU.</w:t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0" allowOverlap="1" relativeHeight="19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0425" cy="4306570"/>
            <wp:effectExtent l="0" t="0" r="0" b="0"/>
            <wp:wrapSquare wrapText="largest"/>
            <wp:docPr id="1" name="Изображение1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8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06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0" allowOverlap="1" relativeHeight="18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0425" cy="4306570"/>
            <wp:effectExtent l="0" t="0" r="0" b="0"/>
            <wp:wrapSquare wrapText="largest"/>
            <wp:docPr id="2" name="Изображение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17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06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0" allowOverlap="1" relativeHeight="17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0425" cy="4306570"/>
            <wp:effectExtent l="0" t="0" r="0" b="0"/>
            <wp:wrapSquare wrapText="largest"/>
            <wp:docPr id="3" name="Изображение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16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06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0" allowOverlap="1" relativeHeight="16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0425" cy="4306570"/>
            <wp:effectExtent l="0" t="0" r="0" b="0"/>
            <wp:wrapSquare wrapText="largest"/>
            <wp:docPr id="4" name="Изображение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15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06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0" allowOverlap="1" relativeHeight="15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0425" cy="4306570"/>
            <wp:effectExtent l="0" t="0" r="0" b="0"/>
            <wp:wrapSquare wrapText="largest"/>
            <wp:docPr id="5" name="Изображение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14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06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0" allowOverlap="1" relativeHeight="1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0425" cy="4306570"/>
            <wp:effectExtent l="0" t="0" r="0" b="0"/>
            <wp:wrapSquare wrapText="largest"/>
            <wp:docPr id="6" name="Изображение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13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06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0" allowOverlap="1" relativeHeight="1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0425" cy="4306570"/>
            <wp:effectExtent l="0" t="0" r="0" b="0"/>
            <wp:wrapSquare wrapText="largest"/>
            <wp:docPr id="7" name="Изображение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12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06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0" allowOverlap="1" relativeHeight="1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0425" cy="4306570"/>
            <wp:effectExtent l="0" t="0" r="0" b="0"/>
            <wp:wrapSquare wrapText="largest"/>
            <wp:docPr id="8" name="Изображение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11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06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0" allowOverlap="1" relativeHeight="1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0425" cy="4306570"/>
            <wp:effectExtent l="0" t="0" r="0" b="0"/>
            <wp:wrapSquare wrapText="largest"/>
            <wp:docPr id="9" name="Изображение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10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06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0" allowOverlap="1" relativeHeight="10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0425" cy="4306570"/>
            <wp:effectExtent l="0" t="0" r="0" b="0"/>
            <wp:wrapSquare wrapText="largest"/>
            <wp:docPr id="10" name="Изображение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9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06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0" allowOverlap="1" relativeHeight="9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0425" cy="4306570"/>
            <wp:effectExtent l="0" t="0" r="0" b="0"/>
            <wp:wrapSquare wrapText="largest"/>
            <wp:docPr id="11" name="Изображение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8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06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0" allowOverlap="1" relativeHeight="8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0425" cy="4306570"/>
            <wp:effectExtent l="0" t="0" r="0" b="0"/>
            <wp:wrapSquare wrapText="largest"/>
            <wp:docPr id="12" name="Изображение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7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06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0" allowOverlap="1" relativeHeight="7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0425" cy="4306570"/>
            <wp:effectExtent l="0" t="0" r="0" b="0"/>
            <wp:wrapSquare wrapText="largest"/>
            <wp:docPr id="13" name="Изображение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6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06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0" allowOverlap="1" relativeHeight="6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0425" cy="4306570"/>
            <wp:effectExtent l="0" t="0" r="0" b="0"/>
            <wp:wrapSquare wrapText="largest"/>
            <wp:docPr id="14" name="Изображение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5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06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0" allowOverlap="1" relativeHeight="5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0425" cy="4306570"/>
            <wp:effectExtent l="0" t="0" r="0" b="0"/>
            <wp:wrapSquare wrapText="largest"/>
            <wp:docPr id="15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06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0425" cy="4306570"/>
            <wp:effectExtent l="0" t="0" r="0" b="0"/>
            <wp:wrapSquare wrapText="largest"/>
            <wp:docPr id="16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06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0425" cy="4306570"/>
            <wp:effectExtent l="0" t="0" r="0" b="0"/>
            <wp:wrapSquare wrapText="largest"/>
            <wp:docPr id="17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06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widowControl/>
        <w:bidi w:val="0"/>
        <w:spacing w:lineRule="auto" w:line="276" w:before="0" w:after="200"/>
        <w:jc w:val="left"/>
        <w:rPr/>
      </w:pPr>
      <w:r>
        <w:rPr/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0425" cy="4306570"/>
            <wp:effectExtent l="0" t="0" r="0" b="0"/>
            <wp:wrapSquare wrapText="largest"/>
            <wp:docPr id="18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06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701" w:right="850" w:gutter="0" w:header="0" w:top="1134" w:footer="0" w:bottom="1134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Times New Roman"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2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" w:cs="" w:asciiTheme="minorHAnsi" w:cstheme="minorBidi" w:eastAsiaTheme="minorEastAsia" w:hAnsiTheme="minorHAnsi"/>
        <w:sz w:val="22"/>
        <w:szCs w:val="22"/>
        <w:lang w:val="ru-RU" w:eastAsia="ru-RU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e111a8"/>
    <w:pPr>
      <w:widowControl/>
      <w:bidi w:val="0"/>
      <w:spacing w:lineRule="auto" w:line="276" w:before="0" w:after="200"/>
      <w:jc w:val="left"/>
    </w:pPr>
    <w:rPr>
      <w:rFonts w:ascii="Calibri" w:hAnsi="Calibri" w:eastAsia="" w:cs="" w:asciiTheme="minorHAnsi" w:cstheme="minorBidi" w:eastAsiaTheme="minorEastAsia" w:hAnsiTheme="minorHAnsi"/>
      <w:color w:val="auto"/>
      <w:kern w:val="0"/>
      <w:sz w:val="22"/>
      <w:szCs w:val="22"/>
      <w:lang w:val="ru-RU" w:eastAsia="ru-RU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>
    <w:name w:val="Hyperlink"/>
    <w:basedOn w:val="DefaultParagraphFont"/>
    <w:uiPriority w:val="99"/>
    <w:unhideWhenUsed/>
    <w:rsid w:val="00691624"/>
    <w:rPr>
      <w:color w:val="0000FF"/>
      <w:u w:val="single"/>
    </w:rPr>
  </w:style>
  <w:style w:type="character" w:styleId="Style15" w:customStyle="1">
    <w:name w:val="Текст выноски Знак"/>
    <w:basedOn w:val="DefaultParagraphFont"/>
    <w:link w:val="BalloonText"/>
    <w:uiPriority w:val="99"/>
    <w:semiHidden/>
    <w:qFormat/>
    <w:rsid w:val="009d1371"/>
    <w:rPr>
      <w:rFonts w:ascii="Tahoma" w:hAnsi="Tahoma" w:cs="Tahoma"/>
      <w:sz w:val="16"/>
      <w:szCs w:val="16"/>
    </w:rPr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Style17">
    <w:name w:val="Body Text"/>
    <w:basedOn w:val="Normal"/>
    <w:pPr>
      <w:spacing w:lineRule="auto" w:line="276" w:before="0" w:after="140"/>
    </w:pPr>
    <w:rPr/>
  </w:style>
  <w:style w:type="paragraph" w:styleId="Style18">
    <w:name w:val="List"/>
    <w:basedOn w:val="Style17"/>
    <w:pPr/>
    <w:rPr>
      <w:rFonts w:cs="Lucida Sans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Lucida Sans"/>
      <w:lang w:val="zxx" w:eastAsia="zxx" w:bidi="zxx"/>
    </w:rPr>
  </w:style>
  <w:style w:type="paragraph" w:styleId="BalloonText">
    <w:name w:val="Balloon Text"/>
    <w:basedOn w:val="Normal"/>
    <w:link w:val="Style15"/>
    <w:uiPriority w:val="99"/>
    <w:semiHidden/>
    <w:unhideWhenUsed/>
    <w:qFormat/>
    <w:rsid w:val="009d1371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691624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image" Target="media/image11.png"/><Relationship Id="rId13" Type="http://schemas.openxmlformats.org/officeDocument/2006/relationships/image" Target="media/image12.png"/><Relationship Id="rId14" Type="http://schemas.openxmlformats.org/officeDocument/2006/relationships/image" Target="media/image13.png"/><Relationship Id="rId15" Type="http://schemas.openxmlformats.org/officeDocument/2006/relationships/image" Target="media/image14.png"/><Relationship Id="rId16" Type="http://schemas.openxmlformats.org/officeDocument/2006/relationships/image" Target="media/image15.png"/><Relationship Id="rId17" Type="http://schemas.openxmlformats.org/officeDocument/2006/relationships/image" Target="media/image16.png"/><Relationship Id="rId18" Type="http://schemas.openxmlformats.org/officeDocument/2006/relationships/image" Target="media/image17.png"/><Relationship Id="rId19" Type="http://schemas.openxmlformats.org/officeDocument/2006/relationships/image" Target="media/image18.png"/><Relationship Id="rId20" Type="http://schemas.openxmlformats.org/officeDocument/2006/relationships/fontTable" Target="fontTable.xml"/><Relationship Id="rId21" Type="http://schemas.openxmlformats.org/officeDocument/2006/relationships/settings" Target="settings.xml"/><Relationship Id="rId22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Application>LibreOffice/7.4.0.3$Windows_X86_64 LibreOffice_project/f85e47c08ddd19c015c0114a68350214f7066f5a</Application>
  <AppVersion>15.0000</AppVersion>
  <Pages>12</Pages>
  <Words>775</Words>
  <Characters>4682</Characters>
  <CharactersWithSpaces>5500</CharactersWithSpaces>
  <Paragraphs>44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2020-02-16T21:11:00Z</dcterms:created>
  <dc:creator>Дмитрий Чехлатый</dc:creator>
  <dc:description/>
  <dc:language>ru-RU</dc:language>
  <cp:lastModifiedBy/>
  <dcterms:modified xsi:type="dcterms:W3CDTF">2023-03-03T12:28:32Z</dcterms:modified>
  <cp:revision>7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